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00BCD4"/>
          <w:sz w:val="44"/>
          <w:szCs w:val="44"/>
        </w:rPr>
        <w:t xml:space="preserve">FIGHTER FACTORY 3 CHEAT SHEET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Quick Reference  —  Keep open while working in FF3</w:t>
      </w:r>
    </w:p>
    <w:p>
      <w:pPr>
        <w:pStyle w:val="Heading2"/>
      </w:pPr>
      <w:r>
        <w:rPr>
          <w:rFonts w:ascii="Arial" w:cs="Arial" w:eastAsia="Arial" w:hAnsi="Arial"/>
        </w:rPr>
        <w:t xml:space="preserve">Keyboard Shortcuts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Shortcut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Ctrl + 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New project / file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Ctrl + 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Save current file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Ctrl + Shift + 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Save all files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Ctrl + Z / Ctrl + Y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Undo / Redo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Ctrl + F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Find in current editor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Ctrl + H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Find &amp; Replace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Ctrl + G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 to line number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F5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Run in M.U.G.E.N. (if path set)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Space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Play / Pause animation preview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Sprites Editor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Task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How to Do It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Add sprites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Sprites tab &gt; Add button or drag-and-drop PNGs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Set Group/Image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Select sprite &gt; edit Group and Image fields in panel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Set axis point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Click crosshair tool &gt; click on sprite where feet meet ground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Show guidelines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View &gt; Show Guidelines (shows floor line)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Batch import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Add &gt; select multiple files &gt; auto-increments Image number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Delete sprite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Select sprite &gt; press Delete or right-click &gt; Remove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Change palette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Palettes tab &gt; import .ACT file or edit colours directly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Set transparency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Palette index 0 is transparent by default (SFF v1)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SFF v2 transparency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Use PNG alpha channel — FF3 preserves it automatically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Animations Editor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Task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How to Do It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New animation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Right-click action list &gt; Add &gt; set action number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Add frame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Select animation &gt; Add Frame &gt; pick sprite from list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Set duration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Edit the Ticks field for each frame (1 tick = 1/60 sec)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Loop animation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Set the last frame’s loopstart flag or use duration -1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Preview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Click Play button or press Space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OnionSkin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Toggle OnionSkin to see ghost of previous/next frames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Draw Clsn2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Select Clsn2 tool &gt; drag box over character body (hurtbox)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Draw Clsn1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Select Clsn1 tool &gt; drag box over attack area (hitbox)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Clsn2 Default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Set once per animation — applies to all frames automatically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Text mode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Switch to text view to see/edit raw .AIR code directly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AIR Format (Text Mode)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Element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Meaning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[Begin Action N]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Start of animation number 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Group,Image, X,Y, Dur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Frame format: sprite ID, offset, ticks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Loopstart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Frames after this line loop forever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Duration = -1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Frame stays forever (end of animation)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H / V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Flip sprite horizontally / vertically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Clsn2Default: 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 hurtboxes that apply to all frames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Clsn2: 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 hurtboxes for this specific frame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Clsn1: 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 hitboxes for this specific frame (attack only)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Sounds Editor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Task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How to Do It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Add sound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Sounds tab &gt; Add &gt; import WAV files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Set Group/Sound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Select sound &gt; edit Group and Sound number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Preview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Select sound &gt; click Play to hear it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Delete sound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Select &gt; Delete or right-click &gt; Remove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Save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File &gt; Save As &gt; name your .SND file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Common Sound Groups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Group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0, X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Punch &amp; kick impacts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1, X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Character voice lines / grunts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2, X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Special move effects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3, X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Super move effects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10, X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Win / loss quotes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11, X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Intro lines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Common Sprite Groups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Group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Animation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Idle stance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5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Turn around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20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Walk forward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40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Jump (neutral)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100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Guard (standing)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110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Guard (crouching)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200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Light punch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210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Medium punch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220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Heavy punch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400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Light kick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410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Medium kick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420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Heavy kick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1000+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Special moves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3000+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Super moves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5000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Hit reaction (standing)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5050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Knocked down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9000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Character select portrait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Testing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Check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Look For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Idle loops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Does the idle animation loop smoothly without a jump?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Walking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Does the walk cycle look natural at the set speed?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Axis alignment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Does the character stay on the ground without floating or sinking?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Attacks connect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 Clsn1 hitboxes overlap the opponent’s Clsn2 on attack?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Sounds play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 impact sounds trigger on the correct animation frame?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No crashes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Can you select and play a full round without MUGEN crashing?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Portrait shows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Does the character portrait appear on the select screen?</w:t>
            </w:r>
          </w:p>
        </w:tc>
      </w:tr>
    </w:tbl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2026-03-20T09:51:50.430Z</dcterms:created>
  <dcterms:modified xsi:type="dcterms:W3CDTF">2026-03-20T09:51:50.431Z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